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357E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3584FA4A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4982C8B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395AFA89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651CF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724A1C6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202FA170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5E510440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山东太阳纸业股份有限公司年产60万吨高档包装纸项目</w:t>
            </w:r>
          </w:p>
        </w:tc>
      </w:tr>
      <w:tr w14:paraId="04F82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246768A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2E27476E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33EC229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78F9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3EFE943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47888C78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5C81C1E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2026-SDJK-KCS-地-0109</w:t>
            </w:r>
          </w:p>
        </w:tc>
      </w:tr>
      <w:tr w14:paraId="2E54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8FBCFF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3F665774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5435C85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10C9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0073FE4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7CEE6EF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6223C1A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勘察静探</w:t>
            </w:r>
          </w:p>
        </w:tc>
      </w:tr>
      <w:tr w14:paraId="4C6B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191444B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399D402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60B2F4ED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53AFA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45382C2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1703BD8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058B7FBA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  <w:bookmarkStart w:id="0" w:name="_GoBack"/>
            <w:bookmarkEnd w:id="0"/>
          </w:p>
        </w:tc>
      </w:tr>
    </w:tbl>
    <w:p w14:paraId="1521907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3AFFD9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519FA9C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7541D631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79C302E5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4952F70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0EDB169E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05FF6DC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1.报价文件提交的截止时间为2026年9月6日14时00分，报价人应在截止时间前登录山东建勘综合信息管理系统报价，提交电子报价文件。此时间截止后，系统关闭，供应商无法提交报价。</w:t>
      </w:r>
    </w:p>
    <w:p w14:paraId="33238F5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763DBAF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393B6E54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38044E14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18342CA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24A114C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52A5D1AE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3E69E87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0006DD91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226EC51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0E8BCCC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2.公告中的时间均为北京时间。</w:t>
      </w:r>
    </w:p>
    <w:p w14:paraId="5E2708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07D8A"/>
    <w:rsid w:val="484F6788"/>
    <w:rsid w:val="5C007D8A"/>
    <w:rsid w:val="6B1B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562</Words>
  <Characters>628</Characters>
  <Lines>0</Lines>
  <Paragraphs>0</Paragraphs>
  <TotalTime>0</TotalTime>
  <ScaleCrop>false</ScaleCrop>
  <LinksUpToDate>false</LinksUpToDate>
  <CharactersWithSpaces>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2026-09-01T02:40:00Z</dcterms:created>
  <dc:creator>PC</dc:creator>
  <cp:lastModifiedBy>PC</cp:lastModifiedBy>
  <dcterms:modified xsi:type="dcterms:W3CDTF">2026-09-01T03:17:54Z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61A4AAADB20A42098C5C7584590E4E05_11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