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外环线三灶港天然气管道隐患整改地下管线探测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上海市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2026-SDJK-KCS-探-0001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管线探测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7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时00分，报价人应在截止时间前登录山</w:t>
      </w:r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息管理系统报价，提交电子报价文件。此时间截止后，系统关闭，供</w:t>
      </w:r>
      <w:bookmarkStart w:id="0" w:name="_GoBack"/>
      <w:bookmarkEnd w:id="0"/>
      <w:r>
        <w:rPr>
          <w:rFonts w:hint="eastAsia" w:ascii="仿宋_GB2312" w:hAnsi="仿宋_GB2312"/>
        </w:rPr>
        <w:t>应商无法提交报价。</w:t>
      </w:r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E92F74"/>
    <w:rsid w:val="01B836E2"/>
    <w:rsid w:val="0C656290"/>
    <w:rsid w:val="0CCC323C"/>
    <w:rsid w:val="0DDF73E0"/>
    <w:rsid w:val="0E7B2823"/>
    <w:rsid w:val="10A34D45"/>
    <w:rsid w:val="10BB62BB"/>
    <w:rsid w:val="116B66AC"/>
    <w:rsid w:val="13494BE4"/>
    <w:rsid w:val="16457CD3"/>
    <w:rsid w:val="1B336BB3"/>
    <w:rsid w:val="1BDF56C5"/>
    <w:rsid w:val="1D3A777E"/>
    <w:rsid w:val="1F8C3DEE"/>
    <w:rsid w:val="24D66B94"/>
    <w:rsid w:val="28E32953"/>
    <w:rsid w:val="29341AF5"/>
    <w:rsid w:val="2A56522D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56C3A57"/>
    <w:rsid w:val="461A766D"/>
    <w:rsid w:val="469C1A50"/>
    <w:rsid w:val="497B6A48"/>
    <w:rsid w:val="4B882AC0"/>
    <w:rsid w:val="502B7D02"/>
    <w:rsid w:val="5B022F52"/>
    <w:rsid w:val="5B660C59"/>
    <w:rsid w:val="5C0C052C"/>
    <w:rsid w:val="5E854A47"/>
    <w:rsid w:val="60341292"/>
    <w:rsid w:val="62562F92"/>
    <w:rsid w:val="62D11B87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605</Characters>
  <Lines>4</Lines>
  <Paragraphs>1</Paragraphs>
  <TotalTime>0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2026-07-02T00:45:36Z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