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新建广州至清远至永州高速铁路(阳山至广州枢纽段)定测4标现场钻探作业技术服务单一来源采购公告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6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2"/>
        <w:gridCol w:w="6693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93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新建广州至清远至永州高速铁路(阳山至广州枢纽段)定测4标现场钻探作业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693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广东省清远市浸谭镇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693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2026-SDJK-KC2-地-0023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693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693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技术服务工作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693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/>
          <w:bCs/>
          <w:color w:val="21252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18C7E87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山东建勘承揽的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新建广州至清远至永州高速铁路(阳山至广州枢纽段)定测4标现场钻探作业</w:t>
      </w: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项目，需要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工程地质钻探数据采集管理系统的软件安装调试</w:t>
      </w: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工作，此项工作单位由发包方确定，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符合单一来源采购只能从唯一供应商处采购的情形。</w:t>
      </w:r>
    </w:p>
    <w:p w14:paraId="3F4ADF2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212529"/>
          <w:sz w:val="28"/>
          <w:szCs w:val="28"/>
        </w:rPr>
        <w:t>拟定的唯一供应商信息</w:t>
      </w:r>
    </w:p>
    <w:p w14:paraId="1A571C0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飞泰交通科技有限公司</w:t>
      </w:r>
    </w:p>
    <w:p w14:paraId="647B641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1.报价文件提交的截止时间为2026年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07月03日15时00分，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本项目采用网上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系统</w:t>
      </w:r>
      <w:r>
        <w:rPr>
          <w:rFonts w:hint="eastAsia" w:ascii="仿宋" w:hAnsi="仿宋" w:eastAsia="仿宋" w:cs="仿宋"/>
          <w:sz w:val="28"/>
          <w:szCs w:val="28"/>
        </w:rPr>
        <w:t>开标，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人无需到现场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山东建勘官网（http://www.sdjiankan.com/）。</w:t>
      </w:r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联系人:乔老师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电话：0531-81316396或手机:13589052104</w:t>
      </w: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公示期从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日起至202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日止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，共计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乔老师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81316396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jnqyz@163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.com）。</w:t>
      </w:r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3.公告中的时间均为北京时间。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B3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111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111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0A87F74"/>
    <w:rsid w:val="02BE582C"/>
    <w:rsid w:val="06F858CA"/>
    <w:rsid w:val="072B6868"/>
    <w:rsid w:val="08BB7CF7"/>
    <w:rsid w:val="0C2506CA"/>
    <w:rsid w:val="118224CE"/>
    <w:rsid w:val="16D972A2"/>
    <w:rsid w:val="17F51A32"/>
    <w:rsid w:val="1B3D1677"/>
    <w:rsid w:val="201C7BDE"/>
    <w:rsid w:val="250273A3"/>
    <w:rsid w:val="263C4B36"/>
    <w:rsid w:val="283E4B96"/>
    <w:rsid w:val="2ABD14CF"/>
    <w:rsid w:val="2BD72012"/>
    <w:rsid w:val="338A5133"/>
    <w:rsid w:val="35C02F42"/>
    <w:rsid w:val="3690024F"/>
    <w:rsid w:val="37E4035F"/>
    <w:rsid w:val="3C2029C6"/>
    <w:rsid w:val="3DC15BF5"/>
    <w:rsid w:val="3F23460E"/>
    <w:rsid w:val="3F316983"/>
    <w:rsid w:val="47770D73"/>
    <w:rsid w:val="51E25F22"/>
    <w:rsid w:val="53002042"/>
    <w:rsid w:val="536F7A4A"/>
    <w:rsid w:val="56293EE0"/>
    <w:rsid w:val="5A14682B"/>
    <w:rsid w:val="5D485594"/>
    <w:rsid w:val="62D21084"/>
    <w:rsid w:val="63161C90"/>
    <w:rsid w:val="63EB4ECB"/>
    <w:rsid w:val="70E138DD"/>
    <w:rsid w:val="77991C4E"/>
    <w:rsid w:val="786077DD"/>
    <w:rsid w:val="7BED1E98"/>
    <w:rsid w:val="7E804C0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7BFF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7BFF"/>
      <w:u w:val="none"/>
    </w:rPr>
  </w:style>
  <w:style w:type="character" w:styleId="12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hover6"/>
    <w:basedOn w:val="7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996</Characters>
  <Lines>0</Lines>
  <Paragraphs>0</Paragraphs>
  <TotalTime>17</TotalTime>
  <ScaleCrop>false</ScaleCrop>
  <LinksUpToDate>false</LinksUpToDate>
  <CharactersWithSpaces>999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乔玉忠</cp:lastModifiedBy>
  <cp:lastPrinted>2025-10-09T05:39:00Z</cp:lastPrinted>
  <dcterms:modified xsi:type="dcterms:W3CDTF">2026-06-25T00:43:37Z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50A4EA2061AF4C499E58F6664E583CC0_12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