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2025-SDJK-FW-SG3-002</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2025年5月15日17时整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96B7938"/>
    <w:rsid w:val="1B8266CB"/>
    <w:rsid w:val="200621A4"/>
    <w:rsid w:val="21E73DD5"/>
    <w:rsid w:val="22CD68A7"/>
    <w:rsid w:val="230D5D8D"/>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3980257"/>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B4044F"/>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622</Characters>
  <Lines>0</Lines>
  <Paragraphs>0</Paragraphs>
  <TotalTime>105</TotalTime>
  <ScaleCrop>false</ScaleCrop>
  <LinksUpToDate>false</LinksUpToDate>
  <CharactersWithSpaces>626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2025-05-12T08:47:45Z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D8974A9A2F9A4BA0BCC0AE1264D2001F_13</vt:lpwstr>
  </property>
  <property fmtid="{D5CDD505-2E9C-101B-9397-08002B2CF9AE}" pid="4" name="KSOTemplateDocerSaveRecord">
    <vt:lpwstr>eyJoZGlkIjoiMWM0ZTUwNjBhNDAyNWEwNzM2MGUyOTllMzYzNWQ1MjEiLCJ1c2VySWQiOiIxNDU0NzIxMjEwIn0=</vt:lpwstr>
  </property>
</Properties>
</file>